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3A" w:rsidRDefault="00A6203A" w:rsidP="00FB641C"/>
    <w:p w:rsidR="00A6203A" w:rsidRDefault="00A6203A" w:rsidP="00FB641C"/>
    <w:p w:rsidR="00B80B82" w:rsidRPr="00FB641C" w:rsidRDefault="00A6203A" w:rsidP="00FB641C">
      <w:r>
        <w:t>RTI using AIMSweb:</w:t>
      </w:r>
      <w:r w:rsidR="00FB641C" w:rsidRPr="00FB641C">
        <w:rPr>
          <w:noProof/>
        </w:rPr>
        <w:drawing>
          <wp:inline distT="0" distB="0" distL="0" distR="0">
            <wp:extent cx="5486400" cy="3671570"/>
            <wp:effectExtent l="25400" t="0" r="0" b="0"/>
            <wp:docPr id="2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0400" cy="5541962"/>
                      <a:chOff x="466725" y="801688"/>
                      <a:chExt cx="8280400" cy="5541962"/>
                    </a:xfrm>
                  </a:grpSpPr>
                  <a:sp>
                    <a:nvSpPr>
                      <a:cNvPr id="517122" name="Rectangle 2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547688" y="801688"/>
                        <a:ext cx="8064500" cy="6842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+mj-lt"/>
                              <a:ea typeface="ＭＳ Ｐゴシック" charset="-128"/>
                              <a:cs typeface="ＭＳ Ｐゴシック" charset="-128"/>
                            </a:defRPr>
                          </a:lvl1pPr>
                          <a:lvl2pPr algn="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  <a:ea typeface="ＭＳ Ｐゴシック" charset="-128"/>
                              <a:cs typeface="ＭＳ Ｐゴシック" charset="-128"/>
                            </a:defRPr>
                          </a:lvl2pPr>
                          <a:lvl3pPr algn="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  <a:ea typeface="ＭＳ Ｐゴシック" charset="-128"/>
                              <a:cs typeface="ＭＳ Ｐゴシック" charset="-128"/>
                            </a:defRPr>
                          </a:lvl3pPr>
                          <a:lvl4pPr algn="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  <a:ea typeface="ＭＳ Ｐゴシック" charset="-128"/>
                              <a:cs typeface="ＭＳ Ｐゴシック" charset="-128"/>
                            </a:defRPr>
                          </a:lvl4pPr>
                          <a:lvl5pPr algn="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  <a:ea typeface="ＭＳ Ｐゴシック" charset="-128"/>
                              <a:cs typeface="ＭＳ Ｐゴシック" charset="-128"/>
                            </a:defRPr>
                          </a:lvl5pPr>
                          <a:lvl6pPr marL="457200" algn="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</a:defRPr>
                          </a:lvl6pPr>
                          <a:lvl7pPr marL="914400" algn="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</a:defRPr>
                          </a:lvl7pPr>
                          <a:lvl8pPr marL="1371600" algn="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</a:defRPr>
                          </a:lvl8pPr>
                          <a:lvl9pPr marL="1828800" algn="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  <a:latin typeface="Arial" charset="0"/>
                            </a:defRPr>
                          </a:lvl9pPr>
                        </a:lstStyle>
                        <a:p>
                          <a:pPr>
                            <a:lnSpc>
                              <a:spcPct val="85000"/>
                            </a:lnSpc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US" sz="2400" smtClean="0">
                              <a:solidFill>
                                <a:schemeClr val="tx1"/>
                              </a:solidFill>
                              <a:ea typeface="+mj-ea"/>
                              <a:cs typeface="+mj-cs"/>
                            </a:rPr>
                            <a:t>Three-Tiered Assessment Model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32771" name="Picture 3" descr="3_tier_modelcroptri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446338" y="1947863"/>
                        <a:ext cx="2882900" cy="2097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2772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382963" y="3822700"/>
                        <a:ext cx="2435225" cy="2520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2773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110163" y="1876425"/>
                        <a:ext cx="1600200" cy="16557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2774" name="Picture 6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1650" y="2381250"/>
                        <a:ext cx="2027238" cy="209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32775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4373563" y="3956050"/>
                        <a:ext cx="431800" cy="360363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76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3870325" y="5145088"/>
                        <a:ext cx="431800" cy="360362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77" name="Oval 9"/>
                      <a:cNvSpPr>
                        <a:spLocks noChangeArrowheads="1"/>
                      </a:cNvSpPr>
                    </a:nvSpPr>
                    <a:spPr bwMode="auto">
                      <a:xfrm>
                        <a:off x="4337050" y="5000625"/>
                        <a:ext cx="431800" cy="360363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78" name="Oval 10"/>
                      <a:cNvSpPr>
                        <a:spLocks noChangeArrowheads="1"/>
                      </a:cNvSpPr>
                    </a:nvSpPr>
                    <a:spPr bwMode="auto">
                      <a:xfrm>
                        <a:off x="5057775" y="5037138"/>
                        <a:ext cx="431800" cy="360362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79" name="Oval 11"/>
                      <a:cNvSpPr>
                        <a:spLocks noChangeArrowheads="1"/>
                      </a:cNvSpPr>
                    </a:nvSpPr>
                    <a:spPr bwMode="auto">
                      <a:xfrm>
                        <a:off x="4589463" y="4568825"/>
                        <a:ext cx="431800" cy="360363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80" name="Oval 12"/>
                      <a:cNvSpPr>
                        <a:spLocks noChangeArrowheads="1"/>
                      </a:cNvSpPr>
                    </a:nvSpPr>
                    <a:spPr bwMode="auto">
                      <a:xfrm>
                        <a:off x="4086225" y="4568825"/>
                        <a:ext cx="431800" cy="360363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81" name="Oval 13"/>
                      <a:cNvSpPr>
                        <a:spLocks noChangeArrowheads="1"/>
                      </a:cNvSpPr>
                    </a:nvSpPr>
                    <a:spPr bwMode="auto">
                      <a:xfrm>
                        <a:off x="1006475" y="2992438"/>
                        <a:ext cx="431800" cy="360362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82" name="Oval 14"/>
                      <a:cNvSpPr>
                        <a:spLocks noChangeArrowheads="1"/>
                      </a:cNvSpPr>
                    </a:nvSpPr>
                    <a:spPr bwMode="auto">
                      <a:xfrm>
                        <a:off x="1474788" y="3028950"/>
                        <a:ext cx="431800" cy="360363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32783" name="Oval 15"/>
                      <a:cNvSpPr>
                        <a:spLocks noChangeArrowheads="1"/>
                      </a:cNvSpPr>
                    </a:nvSpPr>
                    <a:spPr bwMode="auto">
                      <a:xfrm>
                        <a:off x="5651500" y="1912938"/>
                        <a:ext cx="431800" cy="360362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517136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02325" y="4900613"/>
                        <a:ext cx="2844800" cy="76358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b="1">
                              <a:solidFill>
                                <a:srgbClr val="FF9900"/>
                              </a:solidFill>
                            </a:rPr>
                            <a:t>Tier 1:</a:t>
                          </a:r>
                        </a:p>
                        <a:p>
                          <a:pPr>
                            <a:defRPr/>
                          </a:pPr>
                          <a:r>
                            <a:rPr lang="en-US" sz="1600" b="1">
                              <a:solidFill>
                                <a:srgbClr val="FF9900"/>
                              </a:solidFill>
                              <a:effectLst>
                                <a:outerShdw blurRad="38100" dist="38100" dir="2700000" algn="tl">
                                  <a:srgbClr val="DDDDDD"/>
                                </a:outerShdw>
                              </a:effectLst>
                            </a:rPr>
                            <a:t>BENCHMARK</a:t>
                          </a:r>
                          <a:br>
                            <a:rPr lang="en-US" sz="1600" b="1">
                              <a:solidFill>
                                <a:srgbClr val="FF9900"/>
                              </a:solidFill>
                              <a:effectLst>
                                <a:outerShdw blurRad="38100" dist="38100" dir="2700000" algn="tl">
                                  <a:srgbClr val="DDDDDD"/>
                                </a:outerShdw>
                              </a:effectLst>
                            </a:rPr>
                          </a:br>
                          <a:r>
                            <a:rPr lang="en-US" sz="1200" b="1">
                              <a:solidFill>
                                <a:srgbClr val="FF9900"/>
                              </a:solidFill>
                            </a:rPr>
                            <a:t>Universal Screening for all students</a:t>
                          </a:r>
                          <a:endParaRPr lang="en-US" sz="1200">
                            <a:solidFill>
                              <a:srgbClr val="FF99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7137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6725" y="4432300"/>
                        <a:ext cx="2555875" cy="1373188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b="1">
                              <a:solidFill>
                                <a:srgbClr val="336699"/>
                              </a:solidFill>
                            </a:rPr>
                            <a:t/>
                          </a:r>
                          <a:br>
                            <a:rPr lang="en-US" sz="1600" b="1">
                              <a:solidFill>
                                <a:srgbClr val="336699"/>
                              </a:solidFill>
                            </a:rPr>
                          </a:br>
                          <a:r>
                            <a:rPr lang="en-US" sz="1600" b="1">
                              <a:solidFill>
                                <a:srgbClr val="336699"/>
                              </a:solidFill>
                            </a:rPr>
                            <a:t>Tier 2:</a:t>
                          </a:r>
                          <a:br>
                            <a:rPr lang="en-US" sz="1600" b="1">
                              <a:solidFill>
                                <a:srgbClr val="336699"/>
                              </a:solidFill>
                            </a:rPr>
                          </a:br>
                          <a:r>
                            <a:rPr lang="en-US" sz="1600" b="1">
                              <a:solidFill>
                                <a:srgbClr val="336699"/>
                              </a:solidFill>
                              <a:effectLst>
                                <a:outerShdw blurRad="38100" dist="38100" dir="2700000" algn="tl">
                                  <a:srgbClr val="DDDDDD"/>
                                </a:outerShdw>
                              </a:effectLst>
                            </a:rPr>
                            <a:t>STRATEGIC MONITOR</a:t>
                          </a:r>
                          <a:r>
                            <a:rPr lang="en-US" sz="1600" b="1">
                              <a:solidFill>
                                <a:srgbClr val="336699"/>
                              </a:solidFill>
                            </a:rPr>
                            <a:t/>
                          </a:r>
                          <a:br>
                            <a:rPr lang="en-US" sz="1600" b="1">
                              <a:solidFill>
                                <a:srgbClr val="336699"/>
                              </a:solidFill>
                            </a:rPr>
                          </a:br>
                          <a:r>
                            <a:rPr lang="en-US" sz="1200" b="1">
                              <a:solidFill>
                                <a:srgbClr val="336699"/>
                              </a:solidFill>
                            </a:rPr>
                            <a:t>Monthly monitoring for students who are mild to moderate risk for failure</a:t>
                          </a:r>
                          <a:endParaRPr lang="en-US" sz="1400">
                            <a:solidFill>
                              <a:srgbClr val="336699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7138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94488" y="2020888"/>
                        <a:ext cx="1887537" cy="1738312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b="1">
                              <a:solidFill>
                                <a:srgbClr val="339966"/>
                              </a:solidFill>
                            </a:rPr>
                            <a:t>Tier 3: </a:t>
                          </a:r>
                          <a:r>
                            <a:rPr lang="en-US" sz="1600" b="1">
                              <a:solidFill>
                                <a:srgbClr val="339966"/>
                              </a:solidFill>
                              <a:effectLst>
                                <a:outerShdw blurRad="38100" dist="38100" dir="2700000" algn="tl">
                                  <a:srgbClr val="DDDDDD"/>
                                </a:outerShdw>
                              </a:effectLst>
                            </a:rPr>
                            <a:t>PROGRESS MONITOR</a:t>
                          </a:r>
                          <a:r>
                            <a:rPr lang="en-US" sz="1600" b="1">
                              <a:solidFill>
                                <a:srgbClr val="339966"/>
                              </a:solidFill>
                            </a:rPr>
                            <a:t/>
                          </a:r>
                          <a:br>
                            <a:rPr lang="en-US" sz="1600" b="1">
                              <a:solidFill>
                                <a:srgbClr val="339966"/>
                              </a:solidFill>
                            </a:rPr>
                          </a:br>
                          <a:r>
                            <a:rPr lang="en-US" sz="1200" b="1">
                              <a:solidFill>
                                <a:srgbClr val="339966"/>
                              </a:solidFill>
                            </a:rPr>
                            <a:t>Intensive monitoring towards specific goals for students at significant risk for failure </a:t>
                          </a:r>
                          <a:endParaRPr lang="en-US" sz="1200">
                            <a:solidFill>
                              <a:srgbClr val="339966"/>
                            </a:solidFill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2787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3968750" y="2473325"/>
                        <a:ext cx="412750" cy="1158875"/>
                        <a:chOff x="2500" y="1558"/>
                        <a:chExt cx="260" cy="730"/>
                      </a:xfrm>
                    </a:grpSpPr>
                    <a:sp>
                      <a:nvSpPr>
                        <a:cNvPr id="32788" name="Oval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20" y="2094"/>
                          <a:ext cx="186" cy="18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2789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4" y="2076"/>
                          <a:ext cx="24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600" b="1">
                                <a:solidFill>
                                  <a:schemeClr val="bg1"/>
                                </a:solidFill>
                              </a:rPr>
                              <a:t>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2790" name="Oval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4" y="1824"/>
                          <a:ext cx="186" cy="18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2791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8" y="1806"/>
                          <a:ext cx="24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600" b="1">
                                <a:solidFill>
                                  <a:schemeClr val="bg1"/>
                                </a:solidFill>
                              </a:rPr>
                              <a:t>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2792" name="Oval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06" y="1576"/>
                          <a:ext cx="186" cy="18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32793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0" y="1558"/>
                          <a:ext cx="246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600" b="1">
                                <a:solidFill>
                                  <a:schemeClr val="bg1"/>
                                </a:solidFill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sectPr w:rsidR="00B80B82" w:rsidRPr="00FB641C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B641C"/>
    <w:rsid w:val="00633652"/>
    <w:rsid w:val="00A6203A"/>
    <w:rsid w:val="00F51B89"/>
    <w:rsid w:val="00FB641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E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Melrose Area Schools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3</cp:revision>
  <dcterms:created xsi:type="dcterms:W3CDTF">2010-05-31T16:48:00Z</dcterms:created>
  <dcterms:modified xsi:type="dcterms:W3CDTF">2010-05-31T16:49:00Z</dcterms:modified>
</cp:coreProperties>
</file>